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B4F5C"/>
          <w:sz w:val="16"/>
          <w:szCs w:val="16"/>
        </w:rPr>
        <w:t xml:space="preserve">P2MI MULTIDISIPLIN FTSL ITB  ·  28 AGUSTUS 2026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F1A16"/>
          <w:sz w:val="48"/>
          <w:szCs w:val="48"/>
        </w:rPr>
        <w:t xml:space="preserve">Metodologi PKPRB</w:t>
      </w:r>
    </w:p>
    <w:p>
      <w:pPr>
        <w:spacing w:after="2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C564E"/>
          <w:sz w:val="24"/>
          <w:szCs w:val="24"/>
        </w:rPr>
        <w:t xml:space="preserve">Peta Keselarasan Pendidikan dan Risiko Bencana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C564E"/>
          <w:sz w:val="18"/>
          <w:szCs w:val="18"/>
        </w:rPr>
        <w:t xml:space="preserve">Versi web: https://pkprb.vercel.app/metodologi   ·   Peta: https://pkprb.vercel.app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EFE8D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1A16"/>
                <w:sz w:val="20"/>
                <w:szCs w:val="20"/>
              </w:rPr>
              <w:t xml:space="preserve">Bukan peta kesiapan atau ketangguhan daerah.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1A16"/>
                <w:sz w:val="20"/>
                <w:szCs w:val="20"/>
              </w:rPr>
              <w:t xml:space="preserve">PKPRB memetakan keselarasan antara profil risiko dan dukungan pendidikan tinggi. Tidak mengukur BPBD, SNI, stok insinyur, atau mutu lulusan di lapangan.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1. Dua jenis angka risiko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Buku Indeks Risiko Bencana Indonesia 2025 (BNPB, InaRISK) menerbitkan indeks komposit untuk 38 provinsi. Itu satu-satunya angka risiko resmi tingkat provinsi di buku tersebut.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Per jenis ancaman, buku hanya merilis peringkat kabupaten/kota (hlm. 212–375): banjir 212, gempabumi 230, tsunami 248, letusan gunung api 260, karhutla 294, tanah longsor 310, likuefaksi 344. Tidak ada baris “IRBI gempa Provinsi Aceh”.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Agar filter peta bisa mewarnai, PKPRB merangkum tiap ancaman sebagai rata-rata sederhana skor kabupaten yang tertulis. Bukan maksimum, bukan tertimbang penduduk. Kabupaten yang tidak muncul tidak masuk pembagi. Provinsi tanpa satu baris pun bernilai 0 — artinya tidak ada baris, bukan daerah aman.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Skala berbeda. Komposit provinsi berkisar 57–231 (cap tampilan 250). Rata-rata kabupaten per ancaman berkisar 0–33 (cap 40). Jangan membandingkan “senjang gempa” dengan “senjang komposit” sebagai satu keluarga angka.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2. Cara membaca enam layer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Risiko — filter Komposit memakai IRBI resmi provinsi. Filter ancaman memakai rata-rata kabupaten ancaman itu.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Pendidikan — 1–10 dari ln(1 + kapasitas). Kapasitas = jumlah skor prodi + pusat + kepakaran + spillover.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Keselarasan — matriks 3×3 tertil risiko (sesuai filter) × tertil pendidikan. Label: Senjang, Selaras, Berlebih, Relevan, Menengah.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Historis — ln(1 + korban jiwa absolut) sejak 2000 pada katalog kurasi. Cap ln(1+5000). Bukan DIBI.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Pusat — massa pusat studi + kepakaran di provinsi itu, tanpa prodi dan tanpa spillover.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Respons — 3×3 historis × pusat: responsif, antisipatif, tidak melembaga, belum terespons, menengah.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3. Skor prodi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Skor = bobot disiplin × bobot jenjang × bobot akreditasi. IABEE General atau Provisional dipetakan ke Internasional, tidak ditumpuk di atas Unggul.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</w:tblGrid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Jenjang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Default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S1 dan D4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S2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S3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</w:tr>
    </w:tbl>
    <w:p>
      <w:pPr>
        <w:spacing w:after="160"/>
      </w:pP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</w:tblGrid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Peringkat prodi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Default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Internasional (IABEE)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Unggul atau A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Baik Sekali atau B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</w:tr>
      <w:tr>
        <w:tc>
          <w:tcPr>
            <w:tcW w:type="dxa" w:w="4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Baik, C, atau terakreditasi lain</w:t>
            </w:r>
          </w:p>
        </w:tc>
        <w:tc>
          <w:tcPr>
            <w:tcW w:type="dxa" w:w="2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4. Bobot disiplin × bahaya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Prior 0–1, berganti saat filter dipilih, lalu dapat digeser. Bukan hasil regresi.</w:t>
      </w:r>
    </w:p>
    <w:tbl>
      <w:tblPr>
        <w:tblW w:type="dxa" w:w="7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800"/>
        <w:gridCol w:w="700"/>
        <w:gridCol w:w="700"/>
        <w:gridCol w:w="800"/>
        <w:gridCol w:w="800"/>
        <w:gridCol w:w="700"/>
        <w:gridCol w:w="800"/>
        <w:gridCol w:w="800"/>
      </w:tblGrid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Bahaya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Sipil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Ars.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PWK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Geol.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Lingk.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Kel.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Benc.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Multi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Gempabumi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Tsunami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0,65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0,75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Banjir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Longsor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0,15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Likuefaksi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1,00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0,15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0,55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Gunung api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0,30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0,95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0,10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Karhutla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0,15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0,25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0,05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0,75</w:t>
            </w:r>
          </w:p>
        </w:tc>
      </w:tr>
      <w:tr>
        <w:tc>
          <w:tcPr>
            <w:tcW w:type="dxa" w:w="14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Komposit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0,55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0,70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0,45</w:t>
            </w:r>
          </w:p>
        </w:tc>
        <w:tc>
          <w:tcPr>
            <w:tcW w:type="dxa" w:w="7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0,40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0,85</w:t>
            </w:r>
          </w:p>
        </w:tc>
        <w:tc>
          <w:tcPr>
            <w:tcW w:type="dxa" w:w="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0,80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5. Pusat studi dan kepakaran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Penelitian: bobot pusat × kematangan (anchor 1,35 / PUI 1,20 / standard 1,00) × jejaring nasional 1,20 bila ya × kecocokan bahaya.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Kepakaran: bobot kepakaran × bendera PkM pada baris pusat. Lembar 04 (workshop, satu dokumen RPB, drone) ditunda karena unit hitungnya mudah menggelembung.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6. Spillover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Mengikuti akreditasi institusi, bukan prodi. Kolam dibagi rata ke penerima.</w:t>
      </w:r>
    </w:p>
    <w:tbl>
      <w:tblPr>
        <w:tblW w:type="dxa" w:w="8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000"/>
        <w:gridCol w:w="2000"/>
      </w:tblGrid>
      <w:tr>
        <w:tc>
          <w:tcPr>
            <w:tcW w:type="dxa" w:w="4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Akreditasi PT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Sepulau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Nasional</w:t>
            </w:r>
          </w:p>
        </w:tc>
      </w:tr>
      <w:tr>
        <w:tc>
          <w:tcPr>
            <w:tcW w:type="dxa" w:w="4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Internasional (ITB, UI, UGM, ITS)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12%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6%</w:t>
            </w:r>
          </w:p>
        </w:tc>
      </w:tr>
      <w:tr>
        <w:tc>
          <w:tcPr>
            <w:tcW w:type="dxa" w:w="4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Unggul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8%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3%</w:t>
            </w:r>
          </w:p>
        </w:tc>
      </w:tr>
      <w:tr>
        <w:tc>
          <w:tcPr>
            <w:tcW w:type="dxa" w:w="4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Baik Sekali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4%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0%</w:t>
            </w:r>
          </w:p>
        </w:tc>
      </w:tr>
      <w:tr>
        <w:tc>
          <w:tcPr>
            <w:tcW w:type="dxa" w:w="4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Baik atau di bawahnya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0%</w:t>
            </w:r>
          </w:p>
        </w:tc>
        <w:tc>
          <w:tcPr>
            <w:tcW w:type="dxa" w:w="20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0%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7. Isi basis 28 Agustus 2026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40"/>
      </w:tblGrid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Lembar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Isi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01 Prodi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204 baris. IABEE general pada S1 yang terverifikasi.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03 Pusat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17 unit bernama. Kepakaran = bendera PkM.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04 Layanan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Ditunda.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05 Risiko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38 komposit IRBI 2025 resmi. Tujuh kolom ancaman = rata-rata kabupaten.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06 Historis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50 peristiwa dengan korban jiwa.</w:t>
            </w:r>
          </w:p>
        </w:tc>
      </w:tr>
      <w:tr>
        <w:tc>
          <w:tcPr>
            <w:tcW w:type="dxa" w:w="22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07 Celah</w:t>
            </w:r>
          </w:p>
        </w:tc>
        <w:tc>
          <w:tcPr>
            <w:tcW w:type="dxa" w:w="7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Dihitung dari 01+03.</w:t>
            </w:r>
          </w:p>
        </w:tc>
      </w:tr>
    </w:tbl>
    <w:p>
      <w:pPr>
        <w:spacing w:after="160"/>
      </w:pP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600"/>
        <w:gridCol w:w="4440"/>
      </w:tblGrid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Ancaman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Halaman buku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Kab. terparse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1B4F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Contoh 0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Gempabumi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230–245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514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Tsunami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248–256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±271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DIY, Jambi, Riau, Babel, Kepri, Kalbar, Papua Peg.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Banjir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212–229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510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Longsor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310–325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455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DKI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Likuefaksi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344–375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514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Gunung api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260–265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130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Papua, Kalimantan, DKI, DIY, …</w:t>
            </w:r>
          </w:p>
        </w:tc>
      </w:tr>
      <w:tr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Karhutla</w:t>
            </w:r>
          </w:p>
        </w:tc>
        <w:tc>
          <w:tcPr>
            <w:tcW w:type="dxa" w:w="18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294–309</w:t>
            </w:r>
          </w:p>
        </w:tc>
        <w:tc>
          <w:tcPr>
            <w:tcW w:type="dxa" w:w="160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467</w:t>
            </w:r>
          </w:p>
        </w:tc>
        <w:tc>
          <w:tcPr>
            <w:tcW w:type="dxa" w:w="4440"/>
            <w:tcBorders>
              <w:top w:val="single" w:color="D4CFC5" w:sz="4"/>
              <w:left w:val="single" w:color="D4CFC5" w:sz="4"/>
              <w:bottom w:val="single" w:color="D4CFC5" w:sz="4"/>
              <w:right w:val="single" w:color="D4CFC5" w:sz="4"/>
            </w:tcBorders>
            <w:shd w:fill="F7F1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A16"/>
                <w:sz w:val="18"/>
                <w:szCs w:val="18"/>
              </w:rPr>
              <w:t xml:space="preserve">DKI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1F1A16"/>
        </w:rPr>
        <w:t xml:space="preserve">8. Yang tidak diklaim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1A16"/>
          <w:sz w:val="22"/>
          <w:szCs w:val="22"/>
        </w:rPr>
        <w:t xml:space="preserve">Rata-rata kabupaten adalah ringkasan PKPRB. Jangan mengutip “IRBI gempa Provinsi Aceh = 22,23” sebagai terbitan BNPB. Inventaris bukan direktori nasional. Historis bukan DIBI. Matriks bobot adalah prior kerja.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1F1A16"/>
          <w:sz w:val="22"/>
          <w:szCs w:val="22"/>
        </w:rPr>
        <w:t xml:space="preserve">Proyek terkait P2MI Multidisiplin FTSL ITB 2026 — Mainstreaming Disaster Resiliency in Infrastructure Systems.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C564E"/>
        <w:sz w:val="16"/>
        <w:szCs w:val="16"/>
      </w:rPr>
      <w:t xml:space="preserve">P2MI FTSL ITB  ·  </w:t>
    </w:r>
    <w:r>
      <w:rPr>
        <w:rFonts w:ascii="Calibri" w:cs="Calibri" w:eastAsia="Calibri" w:hAnsi="Calibri"/>
        <w:color w:val="5C564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</w:pPr>
    <w:r>
      <w:rPr>
        <w:rFonts w:ascii="Calibri" w:cs="Calibri" w:eastAsia="Calibri" w:hAnsi="Calibri"/>
        <w:b w:val="false"/>
        <w:bCs w:val="false"/>
        <w:i w:val="false"/>
        <w:iCs w:val="false"/>
        <w:color w:val="5C564E"/>
        <w:sz w:val="16"/>
        <w:szCs w:val="16"/>
      </w:rPr>
      <w:t xml:space="preserve">Metodologi PKPRB · 28 Agustus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Calibri" w:cs="Calibri" w:eastAsia="Calibri" w:hAnsi="Calibri"/>
      <w:b/>
      <w:bCs/>
      <w:color w:val="1F1A1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Calibri" w:cs="Calibri" w:eastAsia="Calibri" w:hAnsi="Calibri"/>
      <w:b/>
      <w:bCs/>
      <w:color w:val="1B4F5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2026-08-28T02:43:20.094Z</dcterms:created>
  <dcterms:modified xsi:type="dcterms:W3CDTF">2026-08-28T02:43:20.095Z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